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070D" w14:textId="25FAA1EF" w:rsidR="00346B80" w:rsidRPr="00A70500" w:rsidRDefault="00904CF4" w:rsidP="006C7E4F">
      <w:pPr>
        <w:jc w:val="right"/>
        <w:rPr>
          <w:b/>
          <w:color w:val="5C5C5C" w:themeColor="text1" w:themeTint="BF"/>
          <w:sz w:val="24"/>
          <w:szCs w:val="24"/>
          <w:lang w:val="fr-FR"/>
        </w:rPr>
      </w:pPr>
      <w:r w:rsidRPr="00A70500">
        <w:rPr>
          <w:b/>
          <w:color w:val="5C5C5C" w:themeColor="text1" w:themeTint="BF"/>
          <w:sz w:val="24"/>
          <w:szCs w:val="24"/>
          <w:lang w:val="fr-FR"/>
        </w:rPr>
        <w:t>INFORMATION</w:t>
      </w:r>
      <w:r w:rsidR="00985ED1" w:rsidRPr="00A70500">
        <w:rPr>
          <w:b/>
          <w:color w:val="5C5C5C" w:themeColor="text1" w:themeTint="BF"/>
          <w:sz w:val="24"/>
          <w:szCs w:val="24"/>
          <w:lang w:val="fr-FR"/>
        </w:rPr>
        <w:t xml:space="preserve"> PRESSE</w:t>
      </w:r>
    </w:p>
    <w:p w14:paraId="1F073A7E" w14:textId="77777777" w:rsidR="006C7E4F" w:rsidRPr="00A70500" w:rsidRDefault="006C7E4F" w:rsidP="006C7E4F">
      <w:pPr>
        <w:jc w:val="right"/>
        <w:rPr>
          <w:b/>
          <w:lang w:val="fr-FR"/>
        </w:rPr>
      </w:pPr>
    </w:p>
    <w:p w14:paraId="735BB329" w14:textId="3139A9B2" w:rsidR="00127590" w:rsidRPr="00F03682" w:rsidRDefault="00185B81" w:rsidP="00127590">
      <w:pPr>
        <w:rPr>
          <w:rFonts w:cstheme="minorHAnsi"/>
          <w:b/>
          <w:i/>
          <w:color w:val="5C5C5C" w:themeColor="text1" w:themeTint="BF"/>
          <w:sz w:val="21"/>
          <w:szCs w:val="21"/>
          <w:lang w:val="fr-FR"/>
        </w:rPr>
      </w:pPr>
      <w:r w:rsidRPr="00F03682">
        <w:rPr>
          <w:rFonts w:cstheme="minorHAnsi"/>
          <w:b/>
          <w:i/>
          <w:color w:val="5C5C5C" w:themeColor="text1" w:themeTint="BF"/>
          <w:sz w:val="21"/>
          <w:szCs w:val="21"/>
          <w:lang w:val="fr-FR"/>
        </w:rPr>
        <w:t>RETOUR EN EUROPE ET DATE HISTORIQUE POUR MICHELIN</w:t>
      </w:r>
    </w:p>
    <w:p w14:paraId="7898F9A2" w14:textId="77777777" w:rsidR="00185B81" w:rsidRPr="00F03682" w:rsidRDefault="00185B81" w:rsidP="00185B81">
      <w:pPr>
        <w:jc w:val="both"/>
        <w:rPr>
          <w:rFonts w:cstheme="minorHAnsi"/>
          <w:color w:val="5C5C5C" w:themeColor="text1" w:themeTint="BF"/>
          <w:sz w:val="21"/>
          <w:szCs w:val="21"/>
          <w:lang w:val="fr-FR"/>
        </w:rPr>
      </w:pPr>
      <w:r w:rsidRPr="00F03682">
        <w:rPr>
          <w:rFonts w:cstheme="minorHAnsi"/>
          <w:color w:val="5C5C5C" w:themeColor="text1" w:themeTint="BF"/>
          <w:sz w:val="21"/>
          <w:szCs w:val="21"/>
          <w:lang w:val="fr-FR"/>
        </w:rPr>
        <w:t>Après un début de saison MotoGP</w:t>
      </w:r>
      <w:r w:rsidRPr="00F03682">
        <w:rPr>
          <w:rFonts w:cstheme="minorHAnsi"/>
          <w:color w:val="5C5C5C" w:themeColor="text1" w:themeTint="BF"/>
          <w:sz w:val="21"/>
          <w:szCs w:val="21"/>
          <w:vertAlign w:val="superscript"/>
          <w:lang w:val="fr-FR"/>
        </w:rPr>
        <w:t xml:space="preserve">TM </w:t>
      </w:r>
      <w:r w:rsidRPr="00F03682">
        <w:rPr>
          <w:rFonts w:cstheme="minorHAnsi"/>
          <w:color w:val="5C5C5C" w:themeColor="text1" w:themeTint="BF"/>
          <w:sz w:val="21"/>
          <w:szCs w:val="21"/>
          <w:lang w:val="fr-FR"/>
        </w:rPr>
        <w:t>2018 par-delà les océans, Michelin est de retour en Europe pour la première des onze courses d’affilée organisées sur le Vieux Continent, le Gran Premio Red Bull de España, à Jerez (Espagne).</w:t>
      </w:r>
    </w:p>
    <w:p w14:paraId="1FADB803" w14:textId="025F5FDA" w:rsidR="00185B81" w:rsidRPr="00F03682" w:rsidRDefault="00185B81" w:rsidP="00185B81">
      <w:pPr>
        <w:jc w:val="both"/>
        <w:rPr>
          <w:rFonts w:cstheme="minorHAnsi"/>
          <w:color w:val="5C5C5C" w:themeColor="text1" w:themeTint="BF"/>
          <w:sz w:val="21"/>
          <w:szCs w:val="21"/>
          <w:lang w:val="fr-FR"/>
        </w:rPr>
      </w:pPr>
      <w:r w:rsidRPr="00F03682">
        <w:rPr>
          <w:rFonts w:cstheme="minorHAnsi"/>
          <w:color w:val="5C5C5C" w:themeColor="text1" w:themeTint="BF"/>
          <w:sz w:val="21"/>
          <w:szCs w:val="21"/>
          <w:lang w:val="fr-FR"/>
        </w:rPr>
        <w:t>Le manufacturier de pneumatiques français va évoluer sur un troisième circuit re-surfaçé consécutif cette saison. D’importants travaux ont été effectués sur la piste depuis les courses de l’an passé. Le circuit andalou, long de 4,423 km, a été re-surfacé, mais contrairement aux deux circuits précédents en Argentine et aux Etats-Unis, Michelin a eu la chance de pouvoir récupérer les datas des teams qui ont roulé sur le nouveau revêtement et aborde donc cette quatrième manche avec de bonnes informations sur la piste. La gamme proposée ce week-end sera adaptée à tous les pilotes, teams et machines avec un MICHELIN Power Slick soft, un medium et un hard pour l’avant et pour l’arrière. Tous les avant sont symétriques, alors que les arrière sont asymétriques avec un côté droit plus dur pour supporter les efforts supplémentaires engendrés par les neuf virages à droite du circuit, contre cinq à gauche. En cas de météo instable, les pneus MICHELIN Power Rain sont disponibles en soft et medium, avec les arrière là-aussi asymétriques avec un côté droit renforcé.</w:t>
      </w:r>
    </w:p>
    <w:p w14:paraId="6678FDD0" w14:textId="77777777" w:rsidR="00185B81" w:rsidRPr="00F03682" w:rsidRDefault="00185B81" w:rsidP="00185B81">
      <w:pPr>
        <w:jc w:val="both"/>
        <w:rPr>
          <w:rFonts w:cstheme="minorHAnsi"/>
          <w:color w:val="5C5C5C" w:themeColor="text1" w:themeTint="BF"/>
          <w:sz w:val="21"/>
          <w:szCs w:val="21"/>
          <w:lang w:val="fr-FR"/>
        </w:rPr>
      </w:pPr>
      <w:r w:rsidRPr="00F03682">
        <w:rPr>
          <w:rFonts w:cstheme="minorHAnsi"/>
          <w:color w:val="5C5C5C" w:themeColor="text1" w:themeTint="BF"/>
          <w:sz w:val="21"/>
          <w:szCs w:val="21"/>
          <w:lang w:val="fr-FR"/>
        </w:rPr>
        <w:t>La première manche européenne de la saison est aussi une étape importante pour Michelin puisqu’elle marquera la 400</w:t>
      </w:r>
      <w:r w:rsidRPr="00F03682">
        <w:rPr>
          <w:rFonts w:cstheme="minorHAnsi"/>
          <w:color w:val="5C5C5C" w:themeColor="text1" w:themeTint="BF"/>
          <w:sz w:val="21"/>
          <w:szCs w:val="21"/>
          <w:vertAlign w:val="superscript"/>
          <w:lang w:val="fr-FR"/>
        </w:rPr>
        <w:t>e</w:t>
      </w:r>
      <w:r w:rsidRPr="00F03682">
        <w:rPr>
          <w:rFonts w:cstheme="minorHAnsi"/>
          <w:color w:val="5C5C5C" w:themeColor="text1" w:themeTint="BF"/>
          <w:sz w:val="21"/>
          <w:szCs w:val="21"/>
          <w:lang w:val="fr-FR"/>
        </w:rPr>
        <w:t xml:space="preserve"> victoire du manufacturier français en Grand Prix moto. Depuis 1973, Michelin a remporté 73% des courses disputées face à ses concurrents pneumaticiens, et 39 (avant ce week-end) depuis son retour en tant que manufacturier unique en MotoGP.</w:t>
      </w:r>
    </w:p>
    <w:p w14:paraId="4AAE13A4" w14:textId="77777777" w:rsidR="00185B81" w:rsidRPr="00F03682" w:rsidRDefault="00185B81" w:rsidP="00185B81">
      <w:pPr>
        <w:jc w:val="both"/>
        <w:rPr>
          <w:rFonts w:cstheme="minorHAnsi"/>
          <w:color w:val="5C5C5C" w:themeColor="text1" w:themeTint="BF"/>
          <w:sz w:val="21"/>
          <w:szCs w:val="21"/>
          <w:lang w:val="fr-FR"/>
        </w:rPr>
      </w:pPr>
      <w:r w:rsidRPr="00F03682">
        <w:rPr>
          <w:rFonts w:cstheme="minorHAnsi"/>
          <w:color w:val="5C5C5C" w:themeColor="text1" w:themeTint="BF"/>
          <w:sz w:val="21"/>
          <w:szCs w:val="21"/>
          <w:lang w:val="fr-FR"/>
        </w:rPr>
        <w:t>Le Circuit de Jerez se situe près de la ville de Jerez de la Frontera dans la région du célèbre vin de Xérès (ou Sherry), à environ 90 km de Séville.  C’est un rendez-vous habituel du MotoGP depuis 1989, et désormais la manche d’ouverture traditionnelle de la saison européenne. Même si quatre Grand Prix sont organisés en Espagne, c’est le seul à s’appeler officiellement Grand Prix d’Espagne. Il attire un public très nombreux qui se masse sur les gradins naturels bordant le circuit.</w:t>
      </w:r>
    </w:p>
    <w:p w14:paraId="133456D1" w14:textId="77777777" w:rsidR="00185B81" w:rsidRPr="00F03682" w:rsidRDefault="00185B81" w:rsidP="00185B81">
      <w:pPr>
        <w:jc w:val="both"/>
        <w:rPr>
          <w:rFonts w:cstheme="minorHAnsi"/>
          <w:color w:val="5C5C5C" w:themeColor="text1" w:themeTint="BF"/>
          <w:sz w:val="21"/>
          <w:szCs w:val="21"/>
          <w:lang w:val="fr-FR"/>
        </w:rPr>
      </w:pPr>
      <w:r w:rsidRPr="00F03682">
        <w:rPr>
          <w:rFonts w:cstheme="minorHAnsi"/>
          <w:color w:val="5C5C5C" w:themeColor="text1" w:themeTint="BF"/>
          <w:sz w:val="21"/>
          <w:szCs w:val="21"/>
          <w:lang w:val="fr-FR"/>
        </w:rPr>
        <w:t>Les pneus Michelin prendront la piste vendredi pour deux séances d’essais libres suivies par deux autres le samedi avant les qualifications qui détermineront la grille de départ du Grand Prix dimanche 6 mai. La course passe cette année à 25 tours, contre 27 les saisons précédentes. Le départ sera donné à 14h00.</w:t>
      </w:r>
    </w:p>
    <w:p w14:paraId="245B068F" w14:textId="77777777" w:rsidR="00185B81" w:rsidRPr="00F03682" w:rsidRDefault="00185B81" w:rsidP="00185B81">
      <w:pPr>
        <w:jc w:val="both"/>
        <w:rPr>
          <w:rFonts w:cstheme="minorHAnsi"/>
          <w:b/>
          <w:color w:val="5C5C5C" w:themeColor="text1" w:themeTint="BF"/>
          <w:sz w:val="21"/>
          <w:szCs w:val="21"/>
          <w:lang w:val="fr-FR"/>
        </w:rPr>
      </w:pPr>
      <w:r w:rsidRPr="00F03682">
        <w:rPr>
          <w:rFonts w:cstheme="minorHAnsi"/>
          <w:b/>
          <w:color w:val="5C5C5C" w:themeColor="text1" w:themeTint="BF"/>
          <w:sz w:val="21"/>
          <w:szCs w:val="21"/>
          <w:lang w:val="fr-FR"/>
        </w:rPr>
        <w:t>Piero Taramasso – Manager Deux-roues, Michelin Motorsport :</w:t>
      </w:r>
    </w:p>
    <w:p w14:paraId="60318D93" w14:textId="59AB2EB1" w:rsidR="006C7E4F" w:rsidRPr="00A70500" w:rsidRDefault="00185B81" w:rsidP="00DC0CE6">
      <w:pPr>
        <w:jc w:val="both"/>
        <w:rPr>
          <w:sz w:val="28"/>
          <w:szCs w:val="28"/>
          <w:lang w:val="fr-FR"/>
        </w:rPr>
      </w:pPr>
      <w:r w:rsidRPr="00F03682">
        <w:rPr>
          <w:rFonts w:cstheme="minorHAnsi"/>
          <w:color w:val="5C5C5C" w:themeColor="text1" w:themeTint="BF"/>
          <w:sz w:val="21"/>
          <w:szCs w:val="21"/>
          <w:lang w:val="fr-FR"/>
        </w:rPr>
        <w:t>« </w:t>
      </w:r>
      <w:r w:rsidRPr="00F03682">
        <w:rPr>
          <w:rFonts w:cstheme="minorHAnsi"/>
          <w:color w:val="5C5C5C" w:themeColor="text1" w:themeTint="BF"/>
          <w:sz w:val="21"/>
          <w:szCs w:val="21"/>
          <w:lang w:val="fr-FR"/>
        </w:rPr>
        <w:t>Après trois courses très exigeantes et les trois tests de pré-saison disputés hors Europe, c’est bon de revenir en Europe mais la tâche n’est pas pour autant moins difficile. Nous allons être de nouveau confrontés à un re-surfaçage de la piste et nous n’avons pas vraiment de données sur ses performances pendant un week-end de course. Nous avons pu, néanmoins, rassembler des informations issues de nos essais menés sur ce circuit pour proposer une gamme de pneus adaptée à ce nouveau revêtement et qui permettra à tous les pilotes de faire le choix optimal en fonction de leur style de pilotage et de leurs motos. Jerez est toujours un superbe événement et cette année il aura une saveur particulière puisque nous allons célébrer notre 400</w:t>
      </w:r>
      <w:r w:rsidRPr="00F03682">
        <w:rPr>
          <w:rFonts w:cstheme="minorHAnsi"/>
          <w:color w:val="5C5C5C" w:themeColor="text1" w:themeTint="BF"/>
          <w:sz w:val="21"/>
          <w:szCs w:val="21"/>
          <w:vertAlign w:val="superscript"/>
          <w:lang w:val="fr-FR"/>
        </w:rPr>
        <w:t>ème</w:t>
      </w:r>
      <w:r w:rsidRPr="00F03682">
        <w:rPr>
          <w:rFonts w:cstheme="minorHAnsi"/>
          <w:color w:val="5C5C5C" w:themeColor="text1" w:themeTint="BF"/>
          <w:sz w:val="21"/>
          <w:szCs w:val="21"/>
          <w:lang w:val="fr-FR"/>
        </w:rPr>
        <w:t xml:space="preserve"> victoire en Grand Prix. C’est une magnifique réussite et nous aurons à cœur d’offrir un beau spectacle afin de célébrer cette 400</w:t>
      </w:r>
      <w:r w:rsidRPr="00F03682">
        <w:rPr>
          <w:rFonts w:cstheme="minorHAnsi"/>
          <w:color w:val="5C5C5C" w:themeColor="text1" w:themeTint="BF"/>
          <w:sz w:val="21"/>
          <w:szCs w:val="21"/>
          <w:vertAlign w:val="superscript"/>
          <w:lang w:val="fr-FR"/>
        </w:rPr>
        <w:t>ème</w:t>
      </w:r>
      <w:r w:rsidRPr="00F03682">
        <w:rPr>
          <w:rFonts w:cstheme="minorHAnsi"/>
          <w:color w:val="5C5C5C" w:themeColor="text1" w:themeTint="BF"/>
          <w:sz w:val="21"/>
          <w:szCs w:val="21"/>
          <w:lang w:val="fr-FR"/>
        </w:rPr>
        <w:t xml:space="preserve"> victoire avec style.</w:t>
      </w:r>
      <w:r w:rsidRPr="00F03682">
        <w:rPr>
          <w:rFonts w:cstheme="minorHAnsi"/>
          <w:color w:val="5C5C5C" w:themeColor="text1" w:themeTint="BF"/>
          <w:sz w:val="21"/>
          <w:szCs w:val="21"/>
          <w:lang w:val="fr-FR"/>
        </w:rPr>
        <w:t> »</w:t>
      </w:r>
      <w:r w:rsidRPr="00F03682">
        <w:rPr>
          <w:rFonts w:cstheme="minorHAnsi"/>
          <w:color w:val="5C5C5C" w:themeColor="text1" w:themeTint="BF"/>
          <w:sz w:val="21"/>
          <w:szCs w:val="21"/>
          <w:lang w:val="fr-FR"/>
        </w:rPr>
        <w:t> </w:t>
      </w:r>
      <w:bookmarkStart w:id="0" w:name="_GoBack"/>
      <w:bookmarkEnd w:id="0"/>
    </w:p>
    <w:sectPr w:rsidR="006C7E4F" w:rsidRPr="00A70500" w:rsidSect="00B146F4">
      <w:headerReference w:type="default" r:id="rId9"/>
      <w:footerReference w:type="default" r:id="rId10"/>
      <w:pgSz w:w="11906" w:h="16838"/>
      <w:pgMar w:top="1440" w:right="849" w:bottom="567"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708D" w14:textId="77777777" w:rsidR="00E5500D" w:rsidRDefault="00E5500D" w:rsidP="00DB4D9F">
      <w:pPr>
        <w:spacing w:after="0" w:line="240" w:lineRule="auto"/>
      </w:pPr>
      <w:r>
        <w:separator/>
      </w:r>
    </w:p>
  </w:endnote>
  <w:endnote w:type="continuationSeparator" w:id="0">
    <w:p w14:paraId="727E08F5" w14:textId="77777777" w:rsidR="00E5500D" w:rsidRDefault="00E5500D"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54E" w14:textId="77777777" w:rsidR="008D5940" w:rsidRPr="008D5940" w:rsidRDefault="00DA451D" w:rsidP="00A838CF">
    <w:pPr>
      <w:pStyle w:val="Footer"/>
      <w:rPr>
        <w:lang w:val="en-US"/>
      </w:rPr>
    </w:pPr>
    <w:r>
      <w:rPr>
        <w:noProof/>
        <w:lang w:eastAsia="en-GB"/>
      </w:rPr>
      <w:drawing>
        <wp:anchor distT="0" distB="0" distL="114300" distR="114300" simplePos="0" relativeHeight="251667456" behindDoc="0" locked="0" layoutInCell="1" allowOverlap="1" wp14:anchorId="7168F306" wp14:editId="624032C6">
          <wp:simplePos x="0" y="0"/>
          <wp:positionH relativeFrom="column">
            <wp:posOffset>4740275</wp:posOffset>
          </wp:positionH>
          <wp:positionV relativeFrom="paragraph">
            <wp:posOffset>-656590</wp:posOffset>
          </wp:positionV>
          <wp:extent cx="1281430" cy="405130"/>
          <wp:effectExtent l="0" t="0" r="0" b="1270"/>
          <wp:wrapTight wrapText="bothSides">
            <wp:wrapPolygon edited="0">
              <wp:start x="0" y="0"/>
              <wp:lineTo x="0" y="20313"/>
              <wp:lineTo x="20551" y="20313"/>
              <wp:lineTo x="20979" y="14897"/>
              <wp:lineTo x="20979" y="2708"/>
              <wp:lineTo x="1713" y="0"/>
              <wp:lineTo x="0" y="0"/>
            </wp:wrapPolygon>
          </wp:wrapTight>
          <wp:docPr id="43" name="Picture 43" descr="../../../../../../../Documents/2018/Michelin/Branding/Horizontal/Logo%20Michelin%20Motorsport%20-%20horizontal%20-%20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8/Michelin/Branding/Horizontal/Logo%20Michelin%20Motorsport%20-%20horizontal%20-%20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3E8D109" wp14:editId="25A830D2">
          <wp:simplePos x="0" y="0"/>
          <wp:positionH relativeFrom="column">
            <wp:posOffset>230505</wp:posOffset>
          </wp:positionH>
          <wp:positionV relativeFrom="paragraph">
            <wp:posOffset>-716280</wp:posOffset>
          </wp:positionV>
          <wp:extent cx="1651635" cy="536575"/>
          <wp:effectExtent l="0" t="0" r="0" b="0"/>
          <wp:wrapTight wrapText="bothSides">
            <wp:wrapPolygon edited="0">
              <wp:start x="3322" y="0"/>
              <wp:lineTo x="2325" y="4090"/>
              <wp:lineTo x="0" y="15337"/>
              <wp:lineTo x="0" y="20450"/>
              <wp:lineTo x="17938" y="20450"/>
              <wp:lineTo x="19266" y="16360"/>
              <wp:lineTo x="21260" y="2045"/>
              <wp:lineTo x="21260" y="0"/>
              <wp:lineTo x="3322" y="0"/>
            </wp:wrapPolygon>
          </wp:wrapTight>
          <wp:docPr id="44" name="Picture 44" descr="../../../../../../../Documents/2018/Michelin/Branding/2018%20MotoGP™_Official_Sponsor_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8/Michelin/Branding/2018%20MotoGP™_Official_Sponsor_Mi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63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56192" behindDoc="0" locked="0" layoutInCell="1" allowOverlap="1" wp14:anchorId="4065A701" wp14:editId="16C4AC7B">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3"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4"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65A701"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5"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6"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v:textbox>
            </v:shape>
          </w:pict>
        </mc:Fallback>
      </mc:AlternateContent>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14:paraId="146C8F2E" w14:textId="77777777" w:rsidTr="00944ACE">
      <w:trPr>
        <w:trHeight w:val="155"/>
        <w:jc w:val="center"/>
      </w:trPr>
      <w:tc>
        <w:tcPr>
          <w:tcW w:w="1842" w:type="dxa"/>
          <w:vAlign w:val="center"/>
        </w:tcPr>
        <w:p w14:paraId="430E2AF3" w14:textId="77777777"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14:paraId="11928F69" w14:textId="77777777"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14:paraId="3E946E89"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5F614ADF"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32822355" w14:textId="77777777"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14:paraId="459230F2" w14:textId="77777777" w:rsidR="007764AF" w:rsidRPr="008D5940" w:rsidRDefault="007764AF" w:rsidP="007764AF">
          <w:pPr>
            <w:pStyle w:val="Footer"/>
            <w:rPr>
              <w:rFonts w:ascii="Arial" w:hAnsi="Arial" w:cs="Arial"/>
              <w:color w:val="424242" w:themeColor="accent6" w:themeShade="BF"/>
              <w:sz w:val="14"/>
              <w:lang w:val="en-US"/>
            </w:rPr>
          </w:pPr>
        </w:p>
      </w:tc>
    </w:tr>
  </w:tbl>
  <w:p w14:paraId="23BD9454" w14:textId="77777777"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C0BA" w14:textId="77777777" w:rsidR="00E5500D" w:rsidRDefault="00E5500D" w:rsidP="00DB4D9F">
      <w:pPr>
        <w:spacing w:after="0" w:line="240" w:lineRule="auto"/>
      </w:pPr>
      <w:r>
        <w:separator/>
      </w:r>
    </w:p>
  </w:footnote>
  <w:footnote w:type="continuationSeparator" w:id="0">
    <w:p w14:paraId="6ED52596" w14:textId="77777777" w:rsidR="00E5500D" w:rsidRDefault="00E5500D"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232" w14:textId="77777777" w:rsidR="00DB4D9F" w:rsidRDefault="00731E99">
    <w:pPr>
      <w:pStyle w:val="Header"/>
    </w:pPr>
    <w:r>
      <w:rPr>
        <w:noProof/>
        <w:lang w:eastAsia="en-GB"/>
      </w:rPr>
      <mc:AlternateContent>
        <mc:Choice Requires="wpg">
          <w:drawing>
            <wp:anchor distT="0" distB="0" distL="114300" distR="114300" simplePos="0" relativeHeight="251652096" behindDoc="1" locked="0" layoutInCell="1" allowOverlap="1" wp14:anchorId="288CAC47" wp14:editId="37B9E3E7">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81E209F" id="Groupe 5" o:spid="_x0000_s1026" style="position:absolute;margin-left:-26.2pt;margin-top:-8.4pt;width:89.3pt;height:234.05pt;z-index:-251664384"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0C5516"/>
    <w:rsid w:val="00102BAB"/>
    <w:rsid w:val="00105F20"/>
    <w:rsid w:val="00127590"/>
    <w:rsid w:val="0015669A"/>
    <w:rsid w:val="00176043"/>
    <w:rsid w:val="00185B81"/>
    <w:rsid w:val="001C2DC2"/>
    <w:rsid w:val="001D2E0C"/>
    <w:rsid w:val="00222196"/>
    <w:rsid w:val="0024615C"/>
    <w:rsid w:val="00283B42"/>
    <w:rsid w:val="0029539B"/>
    <w:rsid w:val="002D312A"/>
    <w:rsid w:val="002D6D5A"/>
    <w:rsid w:val="00346B80"/>
    <w:rsid w:val="00363E16"/>
    <w:rsid w:val="0039797B"/>
    <w:rsid w:val="003F71C3"/>
    <w:rsid w:val="00415D3F"/>
    <w:rsid w:val="00454CD2"/>
    <w:rsid w:val="00495B43"/>
    <w:rsid w:val="004F0A17"/>
    <w:rsid w:val="00503504"/>
    <w:rsid w:val="005200CE"/>
    <w:rsid w:val="00525EDE"/>
    <w:rsid w:val="00571675"/>
    <w:rsid w:val="005A5207"/>
    <w:rsid w:val="005E25F3"/>
    <w:rsid w:val="006357B1"/>
    <w:rsid w:val="00664623"/>
    <w:rsid w:val="0068069A"/>
    <w:rsid w:val="006C7E4F"/>
    <w:rsid w:val="00714671"/>
    <w:rsid w:val="007242B5"/>
    <w:rsid w:val="00731E99"/>
    <w:rsid w:val="007764AF"/>
    <w:rsid w:val="007A012B"/>
    <w:rsid w:val="007C230E"/>
    <w:rsid w:val="008026B6"/>
    <w:rsid w:val="0084425A"/>
    <w:rsid w:val="00851CA3"/>
    <w:rsid w:val="00866557"/>
    <w:rsid w:val="00876DDA"/>
    <w:rsid w:val="008A3605"/>
    <w:rsid w:val="008B21B9"/>
    <w:rsid w:val="008D5940"/>
    <w:rsid w:val="008E6140"/>
    <w:rsid w:val="00904CF4"/>
    <w:rsid w:val="00944ACE"/>
    <w:rsid w:val="00945E5D"/>
    <w:rsid w:val="00975784"/>
    <w:rsid w:val="00985ED1"/>
    <w:rsid w:val="00994659"/>
    <w:rsid w:val="009956CE"/>
    <w:rsid w:val="009F1081"/>
    <w:rsid w:val="00A70500"/>
    <w:rsid w:val="00A74A11"/>
    <w:rsid w:val="00A80D36"/>
    <w:rsid w:val="00A838CF"/>
    <w:rsid w:val="00A923B2"/>
    <w:rsid w:val="00AC3CCE"/>
    <w:rsid w:val="00AE30CF"/>
    <w:rsid w:val="00B146F4"/>
    <w:rsid w:val="00B37467"/>
    <w:rsid w:val="00B678B1"/>
    <w:rsid w:val="00B74697"/>
    <w:rsid w:val="00BA2CF5"/>
    <w:rsid w:val="00BD0902"/>
    <w:rsid w:val="00C765BD"/>
    <w:rsid w:val="00CC16BC"/>
    <w:rsid w:val="00D03CB7"/>
    <w:rsid w:val="00D47005"/>
    <w:rsid w:val="00DA451D"/>
    <w:rsid w:val="00DB4D9F"/>
    <w:rsid w:val="00DC0CE6"/>
    <w:rsid w:val="00E21224"/>
    <w:rsid w:val="00E36482"/>
    <w:rsid w:val="00E44ECF"/>
    <w:rsid w:val="00E5500D"/>
    <w:rsid w:val="00E60821"/>
    <w:rsid w:val="00EA1285"/>
    <w:rsid w:val="00EA4639"/>
    <w:rsid w:val="00EE4900"/>
    <w:rsid w:val="00F03682"/>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21863">
      <w:bodyDiv w:val="1"/>
      <w:marLeft w:val="0"/>
      <w:marRight w:val="0"/>
      <w:marTop w:val="0"/>
      <w:marBottom w:val="0"/>
      <w:divBdr>
        <w:top w:val="none" w:sz="0" w:space="0" w:color="auto"/>
        <w:left w:val="none" w:sz="0" w:space="0" w:color="auto"/>
        <w:bottom w:val="none" w:sz="0" w:space="0" w:color="auto"/>
        <w:right w:val="none" w:sz="0" w:space="0" w:color="auto"/>
      </w:divBdr>
    </w:div>
    <w:div w:id="506097976">
      <w:bodyDiv w:val="1"/>
      <w:marLeft w:val="0"/>
      <w:marRight w:val="0"/>
      <w:marTop w:val="0"/>
      <w:marBottom w:val="0"/>
      <w:divBdr>
        <w:top w:val="none" w:sz="0" w:space="0" w:color="auto"/>
        <w:left w:val="none" w:sz="0" w:space="0" w:color="auto"/>
        <w:bottom w:val="none" w:sz="0" w:space="0" w:color="auto"/>
        <w:right w:val="none" w:sz="0" w:space="0" w:color="auto"/>
      </w:divBdr>
    </w:div>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 w:id="9569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im.walpole@motocom.co.uk"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alessandro.barlozzi@michelin.com" TargetMode="External"/><Relationship Id="rId5" Type="http://schemas.openxmlformats.org/officeDocument/2006/relationships/hyperlink" Target="mailto:tim.walpole@motocom.co.uk" TargetMode="External"/><Relationship Id="rId4" Type="http://schemas.openxmlformats.org/officeDocument/2006/relationships/hyperlink" Target="mailto:alessandro.barlozzi@michelin.co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4FFD-0770-4C50-ADE1-AD032119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4</cp:revision>
  <cp:lastPrinted>2018-04-27T13:13:00Z</cp:lastPrinted>
  <dcterms:created xsi:type="dcterms:W3CDTF">2018-04-27T13:12:00Z</dcterms:created>
  <dcterms:modified xsi:type="dcterms:W3CDTF">2018-04-27T13:14:00Z</dcterms:modified>
</cp:coreProperties>
</file>